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drawing>
          <wp:inline distT="0" distB="0" distL="0" distR="0">
            <wp:extent cx="2190750" cy="6000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after="60"/>
        <w:jc w:val="center"/>
      </w:pPr>
      <w:r>
        <w:rPr>
          <w:rFonts w:ascii="Arial" w:cs="Arial" w:eastAsia="Arial" w:hAnsi="Arial"/>
          <w:b/>
          <w:bCs/>
          <w:color w:val="C9962E"/>
          <w:sz w:val="17"/>
          <w:szCs w:val="17"/>
        </w:rPr>
        <w:t xml:space="preserve">حلول التصنيف — مكتب محاسب قانوني معتمد   |   0559957692   |   info@tasnifmohtawa.com   |   tasnifmohtawa.com</w:t>
      </w:r>
    </w:p>
    <w:tbl>
      <w:tblPr>
        <w:bidiVisual/>
        <w:tblW w:type="dxa" w:w="15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4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B2F36" w:color="auto" w:val="clear"/>
            <w:tcMar>
              <w:top w:type="dxa" w:w="80"/>
              <w:bottom w:type="dxa" w:w="80"/>
            </w:tcMar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ECC76C"/>
                <w:sz w:val="30"/>
                <w:szCs w:val="30"/>
              </w:rPr>
              <w:t xml:space="preserve">ميـزان المـراجعة</w:t>
            </w:r>
          </w:p>
        </w:tc>
      </w:tr>
    </w:tbl>
    <w:p>
      <w:pPr>
        <w:spacing w:after="60"/>
      </w:pPr>
    </w:p>
    <w:tbl>
      <w:tblPr>
        <w:bidiVisual/>
        <w:tblW w:type="dxa" w:w="15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7700"/>
        <w:gridCol w:w="7700"/>
      </w:tblGrid>
      <w:tr>
        <w:tc>
          <w:tcPr>
            <w:tcW w:type="dxa" w:w="77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/>
                <w:bCs/>
                <w:color w:val="2B2F36"/>
                <w:sz w:val="18"/>
                <w:szCs w:val="18"/>
              </w:rPr>
              <w:t xml:space="preserve">اسم المنشأة:  </w:t>
            </w:r>
            <w:r>
              <w:rPr>
                <w:rFonts w:ascii="Arial" w:cs="Arial" w:eastAsia="Arial" w:hAnsi="Arial"/>
                <w:color w:val="3A3A3A"/>
                <w:sz w:val="18"/>
                <w:szCs w:val="18"/>
              </w:rPr>
              <w:t xml:space="preserve">شركة نموذجية للتجارة</w:t>
            </w:r>
          </w:p>
        </w:tc>
        <w:tc>
          <w:tcPr>
            <w:tcW w:type="dxa" w:w="77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/>
                <w:bCs/>
                <w:color w:val="2B2F36"/>
                <w:sz w:val="18"/>
                <w:szCs w:val="18"/>
              </w:rPr>
              <w:t xml:space="preserve">الرقم الضريبي:  </w:t>
            </w:r>
            <w:r>
              <w:rPr>
                <w:rFonts w:ascii="Arial" w:cs="Arial" w:eastAsia="Arial" w:hAnsi="Arial"/>
                <w:color w:val="3A3A3A"/>
                <w:sz w:val="18"/>
                <w:szCs w:val="18"/>
              </w:rPr>
              <w:t xml:space="preserve">3000000000000003</w:t>
            </w:r>
          </w:p>
        </w:tc>
      </w:tr>
      <w:tr>
        <w:tc>
          <w:tcPr>
            <w:tcW w:type="dxa" w:w="77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/>
                <w:bCs/>
                <w:color w:val="2B2F36"/>
                <w:sz w:val="18"/>
                <w:szCs w:val="18"/>
              </w:rPr>
              <w:t xml:space="preserve">الفترة المالية:  </w:t>
            </w:r>
            <w:r>
              <w:rPr>
                <w:rFonts w:ascii="Arial" w:cs="Arial" w:eastAsia="Arial" w:hAnsi="Arial"/>
                <w:color w:val="3A3A3A"/>
                <w:sz w:val="18"/>
                <w:szCs w:val="18"/>
              </w:rPr>
              <w:t xml:space="preserve">01/01/2026 — 31/12/2026</w:t>
            </w:r>
          </w:p>
        </w:tc>
        <w:tc>
          <w:tcPr>
            <w:tcW w:type="dxa" w:w="77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/>
                <w:bCs/>
                <w:color w:val="2B2F36"/>
                <w:sz w:val="18"/>
                <w:szCs w:val="18"/>
              </w:rPr>
              <w:t xml:space="preserve">العملة:  </w:t>
            </w:r>
            <w:r>
              <w:rPr>
                <w:rFonts w:ascii="Arial" w:cs="Arial" w:eastAsia="Arial" w:hAnsi="Arial"/>
                <w:color w:val="3A3A3A"/>
                <w:sz w:val="18"/>
                <w:szCs w:val="18"/>
              </w:rPr>
              <w:t xml:space="preserve">ريال سعودي (SAR)</w:t>
            </w:r>
          </w:p>
        </w:tc>
      </w:tr>
    </w:tbl>
    <w:p>
      <w:pPr>
        <w:spacing w:after="80"/>
      </w:pPr>
    </w:p>
    <w:tbl>
      <w:tblPr>
        <w:bidiVisual/>
        <w:tblW w:type="dxa" w:w="15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00"/>
        <w:gridCol w:w="3400"/>
        <w:gridCol w:w="1800"/>
        <w:gridCol w:w="1800"/>
        <w:gridCol w:w="1800"/>
        <w:gridCol w:w="1800"/>
        <w:gridCol w:w="1800"/>
        <w:gridCol w:w="1800"/>
      </w:tblGrid>
      <w:tr>
        <w:trPr>
          <w:tblHeader/>
        </w:trPr>
        <w:tc>
          <w:tcPr>
            <w:tcW w:type="dxa" w:w="1200"/>
            <w:vMerge w:val="restart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20"/>
                <w:szCs w:val="20"/>
              </w:rPr>
              <w:t xml:space="preserve">رقم الحساب</w:t>
            </w:r>
          </w:p>
        </w:tc>
        <w:tc>
          <w:tcPr>
            <w:tcW w:type="dxa" w:w="3400"/>
            <w:vMerge w:val="restart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20"/>
                <w:szCs w:val="20"/>
              </w:rPr>
              <w:t xml:space="preserve">اسم الحساب</w:t>
            </w:r>
          </w:p>
        </w:tc>
        <w:tc>
          <w:tcPr>
            <w:tcW w:type="dxa" w:w="3600"/>
            <w:gridSpan w:val="2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20"/>
                <w:szCs w:val="20"/>
              </w:rPr>
              <w:t xml:space="preserve">الرصيد الافتتاحي</w:t>
            </w:r>
          </w:p>
        </w:tc>
        <w:tc>
          <w:tcPr>
            <w:tcW w:type="dxa" w:w="3600"/>
            <w:gridSpan w:val="2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20"/>
                <w:szCs w:val="20"/>
              </w:rPr>
              <w:t xml:space="preserve">الحركة خلال الفترة</w:t>
            </w:r>
          </w:p>
        </w:tc>
        <w:tc>
          <w:tcPr>
            <w:tcW w:type="dxa" w:w="3600"/>
            <w:gridSpan w:val="2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20"/>
                <w:szCs w:val="20"/>
              </w:rPr>
              <w:t xml:space="preserve">الرصيد الختامي</w:t>
            </w:r>
          </w:p>
        </w:tc>
      </w:tr>
      <w:tr>
        <w:trPr>
          <w:tblHeader/>
        </w:trPr>
        <w:tc>
          <w:tcPr>
            <w:vMerge w:val="continue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</w:tcPr>
          <w:p/>
        </w:tc>
        <w:tc>
          <w:tcPr>
            <w:vMerge w:val="continue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</w:tcPr>
          <w:p/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C9962E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مدين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C9962E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دائن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C9962E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مدين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C9962E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دائن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C9962E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مدين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C9962E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دائن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19"/>
                <w:szCs w:val="19"/>
              </w:rPr>
              <w:t xml:space="preserve">1000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/>
                <w:bCs/>
                <w:color w:val="2B2F36"/>
                <w:sz w:val="19"/>
                <w:szCs w:val="19"/>
              </w:rPr>
              <w:t xml:space="preserve">الأصول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19"/>
                <w:szCs w:val="19"/>
              </w:rPr>
              <w:t xml:space="preserve">1100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/>
                <w:bCs/>
                <w:color w:val="2B2F36"/>
                <w:sz w:val="19"/>
                <w:szCs w:val="19"/>
              </w:rPr>
              <w:t xml:space="preserve">الأصول المتداولة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1101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النقدية بالصندوق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15,000.00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47,000.00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32,000.00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1102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النقدية لدى البنوك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250,000.00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430,000.00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490,000.00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190,000.00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1103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العملاء (المدينون)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180,000.00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575,000.00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400,000.00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355,000.00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1104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المخزون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220,000.00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300,000.00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320,000.00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200,000.00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1105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ضريبة القيمة المضافة - المدخلات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12,000.00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45,000.00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57,000.00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19"/>
                <w:szCs w:val="19"/>
              </w:rPr>
              <w:t xml:space="preserve">1200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/>
                <w:bCs/>
                <w:color w:val="2B2F36"/>
                <w:sz w:val="19"/>
                <w:szCs w:val="19"/>
              </w:rPr>
              <w:t xml:space="preserve">الأصول غير المتداولة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1201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الأثاث والتجهيزات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90,000.00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90,000.00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1202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السيارات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160,000.00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160,000.00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1203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أجهزة الحاسب الآلي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40,000.00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40,000.00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1209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مجمع إهلاك الأصول الثابتة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70,000.00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70,000.00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19"/>
                <w:szCs w:val="19"/>
              </w:rPr>
              <w:t xml:space="preserve">2000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/>
                <w:bCs/>
                <w:color w:val="2B2F36"/>
                <w:sz w:val="19"/>
                <w:szCs w:val="19"/>
              </w:rPr>
              <w:t xml:space="preserve">الخصوم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2101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الموردون (الدائنون)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140,000.00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250,000.00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345,000.00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235,000.00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2102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ضريبة القيمة المضافة - المخرجات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22,000.00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30,000.00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75,000.00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67,000.00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2103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مخصص الزكاة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18,000.00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18,000.00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2104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قروض قصيرة الأجل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120,000.00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120,000.00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19"/>
                <w:szCs w:val="19"/>
              </w:rPr>
              <w:t xml:space="preserve">3000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/>
                <w:bCs/>
                <w:color w:val="2B2F36"/>
                <w:sz w:val="19"/>
                <w:szCs w:val="19"/>
              </w:rPr>
              <w:t xml:space="preserve">حقوق الملكية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3101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رأس المال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500,000.00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500,000.00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3102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الأرباح المُرحّلة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97,000.00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97,000.00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19"/>
                <w:szCs w:val="19"/>
              </w:rPr>
              <w:t xml:space="preserve">4000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/>
                <w:bCs/>
                <w:color w:val="2B2F36"/>
                <w:sz w:val="19"/>
                <w:szCs w:val="19"/>
              </w:rPr>
              <w:t xml:space="preserve">الإيرادات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4101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المبيعات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500,000.00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500,000.00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4102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إيرادات أخرى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20,000.00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20,000.00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19"/>
                <w:szCs w:val="19"/>
              </w:rPr>
              <w:t xml:space="preserve">5000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/>
                <w:bCs/>
                <w:color w:val="2B2F36"/>
                <w:sz w:val="19"/>
                <w:szCs w:val="19"/>
              </w:rPr>
              <w:t xml:space="preserve">المصروفات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ECC76C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5101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تكلفة المبيعات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320,000.00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320,000.00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5102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الرواتب والأجور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150,000.00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150,000.00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5103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الإيجار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60,000.00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60,000.00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5104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الكهرباء والمياه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12,000.00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12,000.00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FFFFF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12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B2F36"/>
                <w:sz w:val="18"/>
                <w:szCs w:val="18"/>
              </w:rPr>
              <w:t xml:space="preserve">5105</w:t>
            </w:r>
          </w:p>
        </w:tc>
        <w:tc>
          <w:tcPr>
            <w:tcW w:type="dxa" w:w="34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مصروفات إدارية وعمومية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25,000.00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A3A3A"/>
                <w:sz w:val="18"/>
                <w:szCs w:val="18"/>
              </w:rPr>
              <w:t xml:space="preserve">-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25,000.00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DFAF2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3A3A3A"/>
                <w:sz w:val="18"/>
                <w:szCs w:val="18"/>
              </w:rPr>
              <w:t xml:space="preserve">-</w:t>
            </w:r>
          </w:p>
        </w:tc>
      </w:tr>
      <w:tr>
        <w:tc>
          <w:tcPr>
            <w:tcW w:type="dxa" w:w="4600"/>
            <w:gridSpan w:val="2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2B2F36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ECC76C"/>
                <w:sz w:val="20"/>
                <w:szCs w:val="20"/>
              </w:rPr>
              <w:t xml:space="preserve">الإجمـالي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2B2F36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ECC76C"/>
                <w:sz w:val="18"/>
                <w:szCs w:val="18"/>
              </w:rPr>
              <w:t xml:space="preserve">967,000.00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2B2F36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ECC76C"/>
                <w:sz w:val="18"/>
                <w:szCs w:val="18"/>
              </w:rPr>
              <w:t xml:space="preserve">967,000.00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2B2F36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ECC76C"/>
                <w:sz w:val="18"/>
                <w:szCs w:val="18"/>
              </w:rPr>
              <w:t xml:space="preserve">2,197,000.00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2B2F36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ECC76C"/>
                <w:sz w:val="18"/>
                <w:szCs w:val="18"/>
              </w:rPr>
              <w:t xml:space="preserve">2,197,000.00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2B2F36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ECC76C"/>
                <w:sz w:val="18"/>
                <w:szCs w:val="18"/>
              </w:rPr>
              <w:t xml:space="preserve">1,659,000.00</w:t>
            </w:r>
          </w:p>
        </w:tc>
        <w:tc>
          <w:tcPr>
            <w:tcW w:type="dxa" w:w="1800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2B2F36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ECC76C"/>
                <w:sz w:val="18"/>
                <w:szCs w:val="18"/>
              </w:rPr>
              <w:t xml:space="preserve">1,659,000.00</w:t>
            </w:r>
          </w:p>
        </w:tc>
      </w:tr>
      <w:tr>
        <w:tc>
          <w:tcPr>
            <w:tcW w:type="dxa" w:w="4600"/>
            <w:gridSpan w:val="2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right"/>
            </w:pPr>
            <w:r>
              <w:rPr>
                <w:rFonts w:ascii="Arial" w:cs="Arial" w:eastAsia="Arial" w:hAnsi="Arial"/>
                <w:b/>
                <w:bCs/>
                <w:color w:val="2B2F36"/>
                <w:sz w:val="17"/>
                <w:szCs w:val="17"/>
              </w:rPr>
              <w:t xml:space="preserve">فحص التوازن (مدين = دائن)</w:t>
            </w:r>
          </w:p>
        </w:tc>
        <w:tc>
          <w:tcPr>
            <w:tcW w:type="dxa" w:w="3600"/>
            <w:gridSpan w:val="2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1E7D46"/>
                <w:sz w:val="17"/>
                <w:szCs w:val="17"/>
              </w:rPr>
              <w:t xml:space="preserve">✓ متوازن</w:t>
            </w:r>
          </w:p>
        </w:tc>
        <w:tc>
          <w:tcPr>
            <w:tcW w:type="dxa" w:w="3600"/>
            <w:gridSpan w:val="2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1E7D46"/>
                <w:sz w:val="17"/>
                <w:szCs w:val="17"/>
              </w:rPr>
              <w:t xml:space="preserve">✓ متوازن</w:t>
            </w:r>
          </w:p>
        </w:tc>
        <w:tc>
          <w:tcPr>
            <w:tcW w:type="dxa" w:w="3600"/>
            <w:gridSpan w:val="2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shd w:fill="FBF5E7" w:color="auto" w:val="clear"/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bidi/>
              <w:spacing w:after="20" w:before="20"/>
              <w:jc w:val="center"/>
            </w:pPr>
            <w:r>
              <w:rPr>
                <w:rFonts w:ascii="Arial" w:cs="Arial" w:eastAsia="Arial" w:hAnsi="Arial"/>
                <w:b/>
                <w:bCs/>
                <w:color w:val="1E7D46"/>
                <w:sz w:val="17"/>
                <w:szCs w:val="17"/>
              </w:rPr>
              <w:t xml:space="preserve">✓ متوازن</w:t>
            </w:r>
          </w:p>
        </w:tc>
      </w:tr>
    </w:tbl>
    <w:p>
      <w:pPr>
        <w:bidi/>
        <w:spacing w:after="40" w:before="120"/>
        <w:jc w:val="right"/>
      </w:pPr>
      <w:r>
        <w:rPr>
          <w:rFonts w:ascii="Arial" w:cs="Arial" w:eastAsia="Arial" w:hAnsi="Arial"/>
          <w:i/>
          <w:iCs/>
          <w:color w:val="888888"/>
          <w:sz w:val="15"/>
          <w:szCs w:val="15"/>
        </w:rPr>
        <w:t xml:space="preserve">ملاحظة: دليل الحسابات متوافق مع تصنيفات SOCPA، وتشمل ضريبة القيمة المضافة بنسبة 15%. القيم الظاهرة نموذجية للتوضيح.</w:t>
      </w:r>
    </w:p>
    <w:p>
      <w:pPr>
        <w:spacing w:after="200"/>
      </w:pPr>
    </w:p>
    <w:tbl>
      <w:tblPr>
        <w:bidiVisual/>
        <w:tblW w:type="dxa" w:w="154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33"/>
        <w:gridCol w:w="5133"/>
        <w:gridCol w:w="5133"/>
      </w:tblGrid>
      <w:tr>
        <w:tc>
          <w:tcPr>
            <w:tcW w:type="dxa" w:w="5133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before="20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pBdr>
                <w:top w:val="single" w:color="C9962E" w:sz="6" w:space="4"/>
              </w:pBdr>
              <w:bidi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18"/>
                <w:szCs w:val="18"/>
              </w:rPr>
              <w:t xml:space="preserve">أعدّه: المحاسب</w:t>
            </w:r>
          </w:p>
          <w:p>
            <w:pPr>
              <w:bidi/>
              <w:spacing w:before="20"/>
              <w:jc w:val="center"/>
            </w:pPr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الاسم / التوقيع / التاريخ</w:t>
            </w:r>
          </w:p>
        </w:tc>
        <w:tc>
          <w:tcPr>
            <w:tcW w:type="dxa" w:w="5133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before="20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pBdr>
                <w:top w:val="single" w:color="C9962E" w:sz="6" w:space="4"/>
              </w:pBdr>
              <w:bidi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18"/>
                <w:szCs w:val="18"/>
              </w:rPr>
              <w:t xml:space="preserve">راجعه: مدير الحسابات</w:t>
            </w:r>
          </w:p>
          <w:p>
            <w:pPr>
              <w:bidi/>
              <w:spacing w:before="20"/>
              <w:jc w:val="center"/>
            </w:pPr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الاسم / التوقيع / التاريخ</w:t>
            </w:r>
          </w:p>
        </w:tc>
        <w:tc>
          <w:tcPr>
            <w:tcW w:type="dxa" w:w="5133"/>
            <w:tcBorders>
              <w:top w:val="single" w:color="D9C9A3" w:sz="4"/>
              <w:left w:val="single" w:color="D9C9A3" w:sz="4"/>
              <w:bottom w:val="single" w:color="D9C9A3" w:sz="4"/>
              <w:right w:val="single" w:color="D9C9A3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before="20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pBdr>
                <w:top w:val="single" w:color="C9962E" w:sz="6" w:space="4"/>
              </w:pBdr>
              <w:bidi/>
              <w:jc w:val="center"/>
            </w:pPr>
            <w:r>
              <w:rPr>
                <w:rFonts w:ascii="Arial" w:cs="Arial" w:eastAsia="Arial" w:hAnsi="Arial"/>
                <w:b/>
                <w:bCs/>
                <w:color w:val="2B2F36"/>
                <w:sz w:val="18"/>
                <w:szCs w:val="18"/>
              </w:rPr>
              <w:t xml:space="preserve">اعتمده: المدير المالي</w:t>
            </w:r>
          </w:p>
          <w:p>
            <w:pPr>
              <w:bidi/>
              <w:spacing w:before="20"/>
              <w:jc w:val="center"/>
            </w:pPr>
            <w:r>
              <w:rPr>
                <w:rFonts w:ascii="Arial" w:cs="Arial" w:eastAsia="Arial" w:hAnsi="Arial"/>
                <w:color w:val="888888"/>
                <w:sz w:val="15"/>
                <w:szCs w:val="15"/>
              </w:rPr>
              <w:t xml:space="preserve">الاسم / التوقيع / التاريخ</w:t>
            </w:r>
          </w:p>
        </w:tc>
      </w:tr>
    </w:tbl>
    <w:sectPr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0085406685e5752e4b812a178931a288241e337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2026-08-13T17:39:43.261Z</dcterms:created>
  <dcterms:modified xsi:type="dcterms:W3CDTF">2026-08-13T17:39:43.262Z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